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 xml:space="preserve">贰万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20000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壹万伍仟玖佰壹拾壹点零伍</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default" w:ascii="仿宋_GB2312" w:hAnsi="仿宋_GB2312" w:eastAsia="仿宋_GB2312" w:cs="仿宋_GB2312"/>
          <w:b w:val="0"/>
          <w:bCs w:val="0"/>
          <w:color w:val="000000"/>
          <w:kern w:val="0"/>
          <w:sz w:val="32"/>
          <w:szCs w:val="32"/>
          <w:u w:val="single"/>
          <w:lang w:val="en-US" w:eastAsia="zh-CN"/>
        </w:rPr>
        <w:t>15911.05</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惠州市惠城区新民洛塘片区JD127-03-01地块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壹万壹仟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1400</w:t>
      </w:r>
      <w:bookmarkStart w:id="0" w:name="_GoBack"/>
      <w:bookmarkEnd w:id="0"/>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12F78EC"/>
    <w:rsid w:val="0F8768B1"/>
    <w:rsid w:val="12185287"/>
    <w:rsid w:val="2D700E8D"/>
    <w:rsid w:val="33B14CB2"/>
    <w:rsid w:val="3811694D"/>
    <w:rsid w:val="39B638AB"/>
    <w:rsid w:val="50FE606D"/>
    <w:rsid w:val="547B6B29"/>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2022-11-25T08:09:08Z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E2AD24E2A8F54AB2B634A57B1B39F3A2</vt:lpwstr>
  </property>
</Properties>
</file>